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BF33" w14:textId="77777777" w:rsidR="008054DB" w:rsidRPr="003A07D8" w:rsidRDefault="008054DB" w:rsidP="008054DB">
      <w:pPr>
        <w:rPr>
          <w:rFonts w:ascii="Arial" w:hAnsi="Arial" w:cs="Arial"/>
        </w:rPr>
      </w:pPr>
      <w:r w:rsidRPr="003A07D8">
        <w:rPr>
          <w:rFonts w:ascii="Arial" w:hAnsi="Arial" w:cs="Arial"/>
        </w:rPr>
        <w:t xml:space="preserve">GP </w:t>
      </w:r>
      <w:r>
        <w:rPr>
          <w:rFonts w:ascii="Arial" w:hAnsi="Arial" w:cs="Arial"/>
        </w:rPr>
        <w:t>Practice H</w:t>
      </w:r>
      <w:r w:rsidRPr="003A07D8">
        <w:rPr>
          <w:rFonts w:ascii="Arial" w:hAnsi="Arial" w:cs="Arial"/>
        </w:rPr>
        <w:t>eader</w:t>
      </w:r>
    </w:p>
    <w:p w14:paraId="780BCB2F" w14:textId="77777777" w:rsidR="008054DB" w:rsidRDefault="008054DB" w:rsidP="008054DB">
      <w:pPr>
        <w:rPr>
          <w:rFonts w:ascii="Arial" w:hAnsi="Arial" w:cs="Arial"/>
          <w:sz w:val="24"/>
          <w:szCs w:val="24"/>
        </w:rPr>
      </w:pPr>
    </w:p>
    <w:p w14:paraId="777ECB19" w14:textId="77777777" w:rsidR="008054DB" w:rsidRPr="009F6720" w:rsidRDefault="008054DB" w:rsidP="008054DB">
      <w:pPr>
        <w:rPr>
          <w:rFonts w:ascii="Arial" w:hAnsi="Arial" w:cs="Arial"/>
        </w:rPr>
      </w:pPr>
      <w:r w:rsidRPr="009F6720">
        <w:rPr>
          <w:rFonts w:ascii="Arial" w:hAnsi="Arial" w:cs="Arial"/>
        </w:rPr>
        <w:t>Dear</w:t>
      </w:r>
    </w:p>
    <w:p w14:paraId="56427631" w14:textId="77777777" w:rsidR="008054DB" w:rsidRPr="009F6720" w:rsidRDefault="008054DB" w:rsidP="008054DB">
      <w:pPr>
        <w:rPr>
          <w:rFonts w:ascii="Arial" w:hAnsi="Arial" w:cs="Arial"/>
          <w:i/>
        </w:rPr>
      </w:pPr>
      <w:r w:rsidRPr="009F6720">
        <w:rPr>
          <w:rFonts w:ascii="Arial" w:hAnsi="Arial" w:cs="Arial"/>
        </w:rPr>
        <w:t>Re:</w:t>
      </w:r>
      <w:r w:rsidRPr="009F6720">
        <w:rPr>
          <w:rFonts w:ascii="Arial" w:hAnsi="Arial" w:cs="Arial"/>
          <w:i/>
        </w:rPr>
        <w:t xml:space="preserve"> Patient details</w:t>
      </w:r>
    </w:p>
    <w:p w14:paraId="470ACCDF" w14:textId="77777777" w:rsidR="008054DB" w:rsidRPr="009F6720" w:rsidRDefault="008054DB" w:rsidP="008054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en-US"/>
        </w:rPr>
      </w:pPr>
      <w:r w:rsidRPr="009F6720">
        <w:rPr>
          <w:rFonts w:ascii="Arial" w:eastAsia="Calibri" w:hAnsi="Arial" w:cs="Arial"/>
          <w:lang w:val="en-US"/>
        </w:rPr>
        <w:t>You recently wrote asking us to prescribe the following medication for the above patient. A copy of your request is attached.</w:t>
      </w:r>
    </w:p>
    <w:p w14:paraId="04624F06" w14:textId="77777777" w:rsidR="008054DB" w:rsidRPr="009F6720" w:rsidRDefault="008054DB" w:rsidP="008054DB">
      <w:pPr>
        <w:spacing w:after="0"/>
        <w:rPr>
          <w:rFonts w:ascii="Arial" w:hAnsi="Arial" w:cs="Arial"/>
          <w:lang w:val="en-US"/>
        </w:rPr>
      </w:pPr>
    </w:p>
    <w:p w14:paraId="4A7E3BA5" w14:textId="77777777" w:rsidR="008054DB" w:rsidRDefault="008054DB" w:rsidP="008054DB">
      <w:pPr>
        <w:rPr>
          <w:rFonts w:ascii="Arial" w:hAnsi="Arial" w:cs="Arial"/>
          <w:b/>
          <w:lang w:val="en-US"/>
        </w:rPr>
      </w:pPr>
      <w:r w:rsidRPr="009F6720">
        <w:rPr>
          <w:rFonts w:ascii="Arial" w:hAnsi="Arial" w:cs="Arial"/>
          <w:b/>
          <w:lang w:val="en-US"/>
        </w:rPr>
        <w:t>Medicine……………………………………………….</w:t>
      </w:r>
      <w:r w:rsidR="00B82C06">
        <w:rPr>
          <w:rFonts w:ascii="Arial" w:hAnsi="Arial" w:cs="Arial"/>
          <w:b/>
          <w:lang w:val="en-US"/>
        </w:rPr>
        <w:tab/>
      </w:r>
      <w:r w:rsidRPr="009F6720">
        <w:rPr>
          <w:rFonts w:ascii="Arial" w:hAnsi="Arial" w:cs="Arial"/>
          <w:b/>
          <w:lang w:val="en-US"/>
        </w:rPr>
        <w:t>Directions………………………</w:t>
      </w:r>
    </w:p>
    <w:p w14:paraId="67C3180F" w14:textId="77777777" w:rsidR="00B82C06" w:rsidRPr="009F6720" w:rsidRDefault="00B82C06" w:rsidP="008054D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Indication………………………………………………</w:t>
      </w:r>
    </w:p>
    <w:p w14:paraId="427EDF9A" w14:textId="77777777" w:rsidR="008054DB" w:rsidRPr="00666450" w:rsidRDefault="00B21E4D" w:rsidP="00B961ED">
      <w:pPr>
        <w:rPr>
          <w:rFonts w:ascii="Arial" w:hAnsi="Arial" w:cs="Arial"/>
          <w:b/>
          <w:bCs/>
          <w:lang w:val="en-US"/>
        </w:rPr>
      </w:pPr>
      <w:r w:rsidRPr="00666450">
        <w:rPr>
          <w:rFonts w:ascii="Arial" w:eastAsia="Calibri" w:hAnsi="Arial" w:cs="Arial"/>
          <w:b/>
          <w:bCs/>
          <w:lang w:val="en-US"/>
        </w:rPr>
        <w:t>Please be aware</w:t>
      </w:r>
      <w:r w:rsidR="00B961ED" w:rsidRPr="00666450">
        <w:rPr>
          <w:rFonts w:ascii="Arial" w:eastAsia="Calibri" w:hAnsi="Arial" w:cs="Arial"/>
          <w:b/>
          <w:bCs/>
          <w:lang w:val="en-US"/>
        </w:rPr>
        <w:t xml:space="preserve"> that in line with Nottinghamshire Area Prescribing Committee prescribing recommendations, we are unable to prescribe this medication.</w:t>
      </w:r>
    </w:p>
    <w:p w14:paraId="1854DCDB" w14:textId="77777777" w:rsidR="008054DB" w:rsidRPr="009F6720" w:rsidRDefault="008054DB" w:rsidP="008054DB">
      <w:pPr>
        <w:rPr>
          <w:rFonts w:ascii="Arial" w:eastAsia="Calibri" w:hAnsi="Arial" w:cs="Arial"/>
          <w:lang w:val="en-US"/>
        </w:rPr>
      </w:pPr>
      <w:r w:rsidRPr="009F6720">
        <w:rPr>
          <w:rFonts w:ascii="Arial" w:eastAsia="Calibri" w:hAnsi="Arial" w:cs="Arial"/>
          <w:lang w:val="en-US"/>
        </w:rPr>
        <w:t>We would be grateful if you could take the action required as detailed below</w:t>
      </w:r>
      <w:r w:rsidRPr="009F6720">
        <w:rPr>
          <w:rFonts w:ascii="Arial" w:eastAsia="Calibri" w:hAnsi="Arial" w:cs="Arial"/>
          <w:b/>
          <w:lang w:val="en-US"/>
        </w:rPr>
        <w:t>.</w:t>
      </w: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938"/>
      </w:tblGrid>
      <w:tr w:rsidR="008054DB" w:rsidRPr="00AD58B8" w14:paraId="1D0DF9A5" w14:textId="77777777" w:rsidTr="00666450">
        <w:trPr>
          <w:cantSplit/>
        </w:trPr>
        <w:tc>
          <w:tcPr>
            <w:tcW w:w="709" w:type="dxa"/>
            <w:shd w:val="clear" w:color="auto" w:fill="D9D9D9" w:themeFill="background1" w:themeFillShade="D9"/>
          </w:tcPr>
          <w:p w14:paraId="0AA98318" w14:textId="519BBC5D" w:rsidR="008054DB" w:rsidRPr="006E0B9C" w:rsidRDefault="008054DB" w:rsidP="006B5C0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6E0B9C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Tick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16F8C7" w14:textId="77777777" w:rsidR="008054DB" w:rsidRPr="00AD58B8" w:rsidRDefault="008054DB" w:rsidP="006B5C0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D58B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Issue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2052A198" w14:textId="77777777" w:rsidR="008054DB" w:rsidRPr="00AD58B8" w:rsidRDefault="008054DB" w:rsidP="006B5C0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D58B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Action Required</w:t>
            </w:r>
          </w:p>
        </w:tc>
      </w:tr>
      <w:tr w:rsidR="006A557C" w:rsidRPr="00AD58B8" w14:paraId="33214FFB" w14:textId="77777777" w:rsidTr="00666450">
        <w:trPr>
          <w:cantSplit/>
        </w:trPr>
        <w:tc>
          <w:tcPr>
            <w:tcW w:w="709" w:type="dxa"/>
          </w:tcPr>
          <w:p w14:paraId="53DFE09D" w14:textId="77777777" w:rsidR="006A557C" w:rsidRPr="00AD58B8" w:rsidRDefault="006A557C" w:rsidP="006B5C0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B8B7CF" w14:textId="2AC8E744" w:rsidR="006A557C" w:rsidRPr="00AD58B8" w:rsidRDefault="006A557C" w:rsidP="006B5C09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 specialist prescribing only / RED</w:t>
            </w: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medicine has been recommended</w:t>
            </w:r>
            <w:r w:rsidR="000C70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6C5A52" w:rsidRPr="00BF4699">
              <w:rPr>
                <w:rFonts w:ascii="Arial" w:eastAsia="Calibri" w:hAnsi="Arial" w:cs="Arial"/>
                <w:b/>
                <w:bCs/>
                <w:color w:val="FF0000"/>
                <w:lang w:val="en-US"/>
              </w:rPr>
              <w:t>*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938" w:type="dxa"/>
          </w:tcPr>
          <w:p w14:paraId="29269548" w14:textId="75DDEC85" w:rsidR="006A557C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D3DA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This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must </w:t>
            </w:r>
            <w:r w:rsidRPr="00CD3DA2">
              <w:rPr>
                <w:rFonts w:ascii="Arial" w:eastAsia="Calibri" w:hAnsi="Arial" w:cs="Arial"/>
                <w:sz w:val="20"/>
                <w:szCs w:val="20"/>
                <w:lang w:val="en-US"/>
              </w:rPr>
              <w:t>be prescribed by a specialist who can take clinical responsibility for this prescription.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>Please arran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ge for supplies to be continued from your service.</w:t>
            </w:r>
          </w:p>
          <w:p w14:paraId="1F7052B3" w14:textId="0F0E84CF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>T</w:t>
            </w:r>
            <w:r w:rsidRPr="00B961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he practice will be taking no further action </w:t>
            </w:r>
            <w:r w:rsidR="00666450" w:rsidRPr="00B961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>regarding</w:t>
            </w:r>
            <w:r w:rsidRPr="00B961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this activity and the transfer of responsibility has not taken place.</w:t>
            </w:r>
          </w:p>
        </w:tc>
      </w:tr>
      <w:tr w:rsidR="006A557C" w:rsidRPr="00AD58B8" w14:paraId="0FDB8954" w14:textId="77777777" w:rsidTr="00666450">
        <w:trPr>
          <w:cantSplit/>
        </w:trPr>
        <w:tc>
          <w:tcPr>
            <w:tcW w:w="709" w:type="dxa"/>
          </w:tcPr>
          <w:p w14:paraId="2A7B9E79" w14:textId="77777777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7B5F8C" w14:textId="4FF6C149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 shared care / AMBER 1 medicine has been recommended. </w:t>
            </w:r>
          </w:p>
        </w:tc>
        <w:tc>
          <w:tcPr>
            <w:tcW w:w="7938" w:type="dxa"/>
          </w:tcPr>
          <w:p w14:paraId="0E7E1CB8" w14:textId="0B44BAED" w:rsidR="006A557C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F67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We are unable to prescribe this medication under shared care </w:t>
            </w:r>
            <w:r w:rsidR="00666450" w:rsidRPr="009F6720">
              <w:rPr>
                <w:rFonts w:ascii="Arial" w:eastAsia="Calibri" w:hAnsi="Arial" w:cs="Arial"/>
                <w:sz w:val="20"/>
                <w:szCs w:val="20"/>
                <w:lang w:val="en-US"/>
              </w:rPr>
              <w:t>arrangements</w:t>
            </w:r>
            <w:r w:rsidR="0066645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because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14:paraId="1720855B" w14:textId="5D8DD21A" w:rsidR="006A557C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- The medication is not classified as shared care (Amber 1) in Nottinghamshire</w:t>
            </w:r>
            <w:r w:rsidR="00D54F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or</w:t>
            </w:r>
          </w:p>
          <w:p w14:paraId="55A8A49C" w14:textId="08612AB7" w:rsidR="006A557C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- The patient has not been stabilised on the medication</w:t>
            </w:r>
            <w:r w:rsidR="00D54F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or</w:t>
            </w:r>
          </w:p>
          <w:p w14:paraId="41BFE97C" w14:textId="5E7AD584" w:rsidR="006A557C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- The formulation / dose / indication is not covered by Nottinghamshire shared care</w:t>
            </w:r>
            <w:r w:rsidR="00CA141E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14:paraId="186ED5B4" w14:textId="413C33DE" w:rsidR="00BF4699" w:rsidRDefault="00BF4699" w:rsidP="006A557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>T</w:t>
            </w:r>
            <w:r w:rsidRPr="00B961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he practice will be taking no further action regarding this activity </w:t>
            </w: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>until this is resolved</w:t>
            </w:r>
            <w:r w:rsidR="004057B4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>. T</w:t>
            </w:r>
            <w:r w:rsidRPr="00B961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>he transfer of responsibility has not taken place.</w:t>
            </w:r>
          </w:p>
          <w:p w14:paraId="0F0D64AA" w14:textId="5EAFC6EA" w:rsidR="006A557C" w:rsidRPr="00AD58B8" w:rsidRDefault="00666450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="006A557C">
              <w:rPr>
                <w:rFonts w:ascii="Arial" w:eastAsia="Calibri" w:hAnsi="Arial" w:cs="Arial"/>
                <w:sz w:val="20"/>
                <w:szCs w:val="20"/>
                <w:lang w:val="en-US"/>
              </w:rPr>
              <w:t>hared care agreements available at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8657B5" w:rsidRPr="00177342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n-US"/>
                </w:rPr>
                <w:t>www.nottsapc.nhs.uk/shared-care</w:t>
              </w:r>
            </w:hyperlink>
          </w:p>
        </w:tc>
      </w:tr>
      <w:tr w:rsidR="006A557C" w:rsidRPr="00AD58B8" w14:paraId="0CB59D7E" w14:textId="77777777" w:rsidTr="00666450">
        <w:trPr>
          <w:cantSplit/>
        </w:trPr>
        <w:tc>
          <w:tcPr>
            <w:tcW w:w="709" w:type="dxa"/>
          </w:tcPr>
          <w:p w14:paraId="3C2EF5F9" w14:textId="77777777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9F32C9" w14:textId="504A03A6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An AMBER 2 medicine has been recommended that does not meet </w:t>
            </w:r>
            <w:r w:rsidR="001C785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APC prescribing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criteria</w:t>
            </w:r>
            <w:r w:rsidR="0066645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38" w:type="dxa"/>
          </w:tcPr>
          <w:p w14:paraId="505C6B16" w14:textId="77777777" w:rsidR="006A557C" w:rsidRDefault="006A557C" w:rsidP="006A557C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>Please review this treatment and recommend a formulary alternative that can be prescribed in Primary Care.</w:t>
            </w:r>
            <w:r w:rsidRPr="002174C3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0484FE51" w14:textId="2A4CA39A" w:rsidR="006A557C" w:rsidRPr="00B961ED" w:rsidRDefault="006A557C" w:rsidP="006A55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961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Until the action is completed, the practice will be taking no further action </w:t>
            </w:r>
            <w:r w:rsidR="00666450" w:rsidRPr="00B961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>regarding</w:t>
            </w:r>
            <w:r w:rsidRPr="00B961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this activity and the transfer of responsibility has not taken place.</w:t>
            </w:r>
          </w:p>
          <w:p w14:paraId="3F93306D" w14:textId="7D1D1C4C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Joint Formulary is available at: </w:t>
            </w:r>
            <w:hyperlink r:id="rId7" w:history="1">
              <w:r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n-US"/>
                </w:rPr>
                <w:t>www.nottinghamshireformulary.nhs.uk</w:t>
              </w:r>
            </w:hyperlink>
          </w:p>
        </w:tc>
      </w:tr>
      <w:tr w:rsidR="00D54F4F" w:rsidRPr="00AD58B8" w14:paraId="102F162C" w14:textId="77777777" w:rsidTr="00666450">
        <w:trPr>
          <w:cantSplit/>
        </w:trPr>
        <w:tc>
          <w:tcPr>
            <w:tcW w:w="709" w:type="dxa"/>
            <w:vMerge w:val="restart"/>
          </w:tcPr>
          <w:p w14:paraId="2E67A0B9" w14:textId="77777777" w:rsidR="00D54F4F" w:rsidRPr="00AD58B8" w:rsidRDefault="00D54F4F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754652BD" w14:textId="77777777" w:rsidR="00D54F4F" w:rsidRDefault="00D54F4F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49480E95" w14:textId="77777777" w:rsidR="00D54F4F" w:rsidRDefault="00D54F4F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4BA88196" w14:textId="785CEB93" w:rsidR="00D54F4F" w:rsidRPr="00AD58B8" w:rsidRDefault="00D54F4F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 non-formulary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/ GREY</w:t>
            </w: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medicine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</w:t>
            </w: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>as been recommended</w:t>
            </w:r>
            <w:r w:rsidR="000C70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BF4699">
              <w:rPr>
                <w:rFonts w:ascii="Arial" w:eastAsia="Calibri" w:hAnsi="Arial" w:cs="Arial"/>
                <w:b/>
                <w:bCs/>
                <w:color w:val="FF0000"/>
                <w:lang w:val="en-US"/>
              </w:rPr>
              <w:t>*</w:t>
            </w:r>
            <w:r w:rsidR="006C5A52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14:paraId="588DAAA7" w14:textId="5617A210" w:rsidR="00D54F4F" w:rsidRPr="00AD58B8" w:rsidRDefault="00D54F4F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6AC17872" w14:textId="12F144C0" w:rsidR="00D54F4F" w:rsidRPr="00AD58B8" w:rsidRDefault="00D54F4F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>An alternative formulary medicine has been prescribed for the patient as follows:</w:t>
            </w:r>
          </w:p>
          <w:p w14:paraId="1B369079" w14:textId="77777777" w:rsidR="00D54F4F" w:rsidRPr="00AD58B8" w:rsidRDefault="00D54F4F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……………………………………………………………….</w:t>
            </w:r>
          </w:p>
          <w:p w14:paraId="7654041F" w14:textId="17512A61" w:rsidR="00D54F4F" w:rsidRPr="00971D67" w:rsidRDefault="00D54F4F" w:rsidP="006A557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971D67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Please update the patient’s records accordingly</w:t>
            </w:r>
          </w:p>
        </w:tc>
      </w:tr>
      <w:tr w:rsidR="00D54F4F" w:rsidRPr="00AD58B8" w14:paraId="67261770" w14:textId="77777777" w:rsidTr="00666450">
        <w:trPr>
          <w:cantSplit/>
        </w:trPr>
        <w:tc>
          <w:tcPr>
            <w:tcW w:w="709" w:type="dxa"/>
            <w:vMerge/>
          </w:tcPr>
          <w:p w14:paraId="797241AA" w14:textId="77777777" w:rsidR="00D54F4F" w:rsidRPr="00AD58B8" w:rsidRDefault="00D54F4F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14:paraId="2F4E12FE" w14:textId="1ED77B79" w:rsidR="00D54F4F" w:rsidRPr="00AD58B8" w:rsidRDefault="00D54F4F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43E2685E" w14:textId="77777777" w:rsidR="00D54F4F" w:rsidRDefault="00D54F4F" w:rsidP="006A557C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>Please review this treatment and recommend a formulary alternative that can be prescribed in Primary Care.</w:t>
            </w:r>
            <w:r w:rsidRPr="002174C3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5FCAB0B8" w14:textId="3CBB24A2" w:rsidR="00D54F4F" w:rsidRPr="00B961ED" w:rsidRDefault="00D54F4F" w:rsidP="006A55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961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  <w:t>Until the action is completed, the practice will be taking no further action regarding this activity and the transfer of responsibility has not taken place.</w:t>
            </w:r>
          </w:p>
          <w:p w14:paraId="3C14058F" w14:textId="7DEA6320" w:rsidR="00D54F4F" w:rsidRPr="00B961ED" w:rsidRDefault="00D54F4F" w:rsidP="006A55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Joint Formulary is available at: </w:t>
            </w:r>
            <w:hyperlink r:id="rId8" w:history="1">
              <w:r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n-US"/>
                </w:rPr>
                <w:t>www.nottinghamshireformulary.nhs.uk</w:t>
              </w:r>
            </w:hyperlink>
          </w:p>
        </w:tc>
      </w:tr>
      <w:tr w:rsidR="006A557C" w:rsidRPr="00AD58B8" w14:paraId="5DE81FC0" w14:textId="77777777" w:rsidTr="00666450">
        <w:trPr>
          <w:cantSplit/>
        </w:trPr>
        <w:tc>
          <w:tcPr>
            <w:tcW w:w="709" w:type="dxa"/>
          </w:tcPr>
          <w:p w14:paraId="1ACD3CDB" w14:textId="77777777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A46F3B" w14:textId="39506F57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>A medicine suitable for self-care has been recommended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938" w:type="dxa"/>
          </w:tcPr>
          <w:p w14:paraId="154C03D3" w14:textId="77777777" w:rsidR="006A557C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We have advised the patient to purchase a medication suitable for self-care and no prescription will be issued.</w:t>
            </w:r>
          </w:p>
          <w:p w14:paraId="263F1A7E" w14:textId="0A1B3A69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71D67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Please ensure patients are directed to purchase medicines suitable for self-care.</w:t>
            </w: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Policy is available at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n-US"/>
                </w:rPr>
                <w:t>www.nottinghamshiremedicinesmanagement.nhs.uk</w:t>
              </w:r>
            </w:hyperlink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A557C" w:rsidRPr="00AD58B8" w14:paraId="082B9C8F" w14:textId="77777777" w:rsidTr="00666450">
        <w:trPr>
          <w:cantSplit/>
        </w:trPr>
        <w:tc>
          <w:tcPr>
            <w:tcW w:w="709" w:type="dxa"/>
          </w:tcPr>
          <w:p w14:paraId="33682B8F" w14:textId="77777777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5BD255" w14:textId="5DCC40DC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D58B8">
              <w:rPr>
                <w:rFonts w:ascii="Arial" w:eastAsia="Calibri" w:hAnsi="Arial" w:cs="Arial"/>
                <w:sz w:val="20"/>
                <w:szCs w:val="20"/>
                <w:lang w:val="en-US"/>
              </w:rPr>
              <w:t>Other (free text)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14:paraId="63A0E85C" w14:textId="77777777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2EFEF753" w14:textId="77777777" w:rsidR="006A557C" w:rsidRPr="00AD58B8" w:rsidRDefault="006A557C" w:rsidP="006A55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06630632" w14:textId="77777777" w:rsidR="006A557C" w:rsidRDefault="006A557C" w:rsidP="006A557C">
            <w:pPr>
              <w:autoSpaceDE w:val="0"/>
              <w:autoSpaceDN w:val="0"/>
              <w:adjustRightInd w:val="0"/>
              <w:rPr>
                <w:rFonts w:ascii="InterFace-Bold" w:hAnsi="InterFace-Bold" w:cs="InterFace-Bold"/>
                <w:b/>
                <w:bCs/>
                <w:color w:val="585757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Reason (free text)</w:t>
            </w:r>
            <w:r>
              <w:rPr>
                <w:rFonts w:ascii="InterFace-Bold" w:hAnsi="InterFace-Bold" w:cs="InterFace-Bold"/>
                <w:b/>
                <w:bCs/>
                <w:color w:val="585757"/>
                <w:sz w:val="19"/>
                <w:szCs w:val="19"/>
              </w:rPr>
              <w:t xml:space="preserve"> </w:t>
            </w:r>
          </w:p>
          <w:p w14:paraId="1FF153E1" w14:textId="727930DE" w:rsidR="006A557C" w:rsidRPr="009F6720" w:rsidRDefault="006A557C" w:rsidP="006A55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E6E5BEA" w14:textId="77777777" w:rsidR="000C7053" w:rsidRPr="006C5A52" w:rsidRDefault="000C7053" w:rsidP="000C7053">
      <w:pPr>
        <w:pStyle w:val="NoSpacing"/>
        <w:rPr>
          <w:rFonts w:ascii="Arial" w:hAnsi="Arial" w:cs="Arial"/>
          <w:lang w:eastAsia="en-GB"/>
        </w:rPr>
      </w:pPr>
      <w:r w:rsidRPr="00971D67">
        <w:rPr>
          <w:b/>
          <w:bCs/>
          <w:color w:val="FF0000"/>
        </w:rPr>
        <w:t>*</w:t>
      </w:r>
      <w:r>
        <w:rPr>
          <w:b/>
          <w:bCs/>
        </w:rPr>
        <w:t xml:space="preserve"> </w:t>
      </w:r>
      <w:r w:rsidRPr="006C5A52">
        <w:rPr>
          <w:rFonts w:ascii="Arial" w:hAnsi="Arial" w:cs="Arial"/>
          <w:lang w:eastAsia="en-GB"/>
        </w:rPr>
        <w:t xml:space="preserve">Requests for new medicines to be added to the formulary </w:t>
      </w:r>
      <w:r>
        <w:rPr>
          <w:rFonts w:ascii="Arial" w:hAnsi="Arial" w:cs="Arial"/>
          <w:lang w:eastAsia="en-GB"/>
        </w:rPr>
        <w:t>can</w:t>
      </w:r>
      <w:r w:rsidRPr="006C5A52">
        <w:rPr>
          <w:rFonts w:ascii="Arial" w:hAnsi="Arial" w:cs="Arial"/>
          <w:lang w:eastAsia="en-GB"/>
        </w:rPr>
        <w:t xml:space="preserve"> be made by </w:t>
      </w:r>
      <w:r>
        <w:rPr>
          <w:rFonts w:ascii="Arial" w:hAnsi="Arial" w:cs="Arial"/>
          <w:lang w:eastAsia="en-GB"/>
        </w:rPr>
        <w:t>c</w:t>
      </w:r>
      <w:r w:rsidRPr="006C5A52">
        <w:rPr>
          <w:rFonts w:ascii="Arial" w:hAnsi="Arial" w:cs="Arial"/>
          <w:lang w:eastAsia="en-GB"/>
        </w:rPr>
        <w:t>onsultants, GPs, and other appropriate senior clinicians within the Nottinghamshire health community. Application forms and further details of the process are available by emailing</w:t>
      </w:r>
      <w:r w:rsidRPr="006C5A52">
        <w:rPr>
          <w:rFonts w:ascii="Arial" w:hAnsi="Arial" w:cs="Arial"/>
        </w:rPr>
        <w:t xml:space="preserve"> </w:t>
      </w:r>
      <w:hyperlink r:id="rId10" w:history="1">
        <w:r w:rsidRPr="00130E7A">
          <w:rPr>
            <w:rStyle w:val="Hyperlink"/>
            <w:rFonts w:ascii="Arial" w:hAnsi="Arial" w:cs="Arial"/>
            <w:lang w:eastAsia="en-GB"/>
          </w:rPr>
          <w:t>nnicb-nn.nottsapc@nhs.net</w:t>
        </w:r>
      </w:hyperlink>
      <w:r>
        <w:rPr>
          <w:rFonts w:ascii="Arial" w:hAnsi="Arial" w:cs="Arial"/>
          <w:lang w:eastAsia="en-GB"/>
        </w:rPr>
        <w:t xml:space="preserve">. This </w:t>
      </w:r>
      <w:hyperlink r:id="rId11" w:history="1">
        <w:r w:rsidRPr="006C5A52">
          <w:rPr>
            <w:rStyle w:val="Hyperlink"/>
            <w:rFonts w:ascii="Arial" w:hAnsi="Arial" w:cs="Arial"/>
            <w:lang w:eastAsia="en-GB"/>
          </w:rPr>
          <w:t>algorithm</w:t>
        </w:r>
      </w:hyperlink>
      <w:r>
        <w:rPr>
          <w:rFonts w:ascii="Arial" w:hAnsi="Arial" w:cs="Arial"/>
          <w:lang w:eastAsia="en-GB"/>
        </w:rPr>
        <w:t xml:space="preserve"> </w:t>
      </w:r>
      <w:r w:rsidRPr="006C5A5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summarises the formulary application process.</w:t>
      </w:r>
    </w:p>
    <w:p w14:paraId="06FB09F9" w14:textId="77777777" w:rsidR="009F6720" w:rsidRPr="009F6720" w:rsidRDefault="009F6720" w:rsidP="009F6720">
      <w:pPr>
        <w:rPr>
          <w:rFonts w:ascii="Arial" w:hAnsi="Arial" w:cs="Arial"/>
          <w:b/>
        </w:rPr>
      </w:pPr>
      <w:r w:rsidRPr="009F6720">
        <w:rPr>
          <w:rFonts w:ascii="Arial" w:hAnsi="Arial" w:cs="Arial"/>
          <w:b/>
        </w:rPr>
        <w:t>Additional comments:</w:t>
      </w:r>
    </w:p>
    <w:p w14:paraId="70CEE785" w14:textId="6AF8E20C" w:rsidR="008054DB" w:rsidRPr="00AD58B8" w:rsidRDefault="008054DB" w:rsidP="008054DB">
      <w:pPr>
        <w:rPr>
          <w:rFonts w:ascii="Arial" w:hAnsi="Arial" w:cs="Arial"/>
        </w:rPr>
      </w:pPr>
      <w:r w:rsidRPr="00AD58B8">
        <w:rPr>
          <w:rFonts w:ascii="Arial" w:hAnsi="Arial" w:cs="Arial"/>
        </w:rPr>
        <w:t>Yours faithfully</w:t>
      </w:r>
    </w:p>
    <w:p w14:paraId="02A394F0" w14:textId="25F4FB3C" w:rsidR="009F6720" w:rsidRPr="00A33746" w:rsidRDefault="008054DB" w:rsidP="00A33746">
      <w:pPr>
        <w:spacing w:after="0"/>
        <w:rPr>
          <w:rFonts w:ascii="Arial" w:hAnsi="Arial" w:cs="Arial"/>
          <w:b/>
        </w:rPr>
      </w:pPr>
      <w:r w:rsidRPr="006B3CE9">
        <w:rPr>
          <w:rFonts w:ascii="Arial" w:hAnsi="Arial" w:cs="Arial"/>
          <w:b/>
        </w:rPr>
        <w:t>Practice name</w:t>
      </w:r>
    </w:p>
    <w:sectPr w:rsidR="009F6720" w:rsidRPr="00A33746" w:rsidSect="00643F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B356" w14:textId="77777777" w:rsidR="00BC1ED8" w:rsidRDefault="00BC1ED8" w:rsidP="00815A41">
      <w:pPr>
        <w:spacing w:after="0" w:line="240" w:lineRule="auto"/>
      </w:pPr>
      <w:r>
        <w:separator/>
      </w:r>
    </w:p>
  </w:endnote>
  <w:endnote w:type="continuationSeparator" w:id="0">
    <w:p w14:paraId="24434A83" w14:textId="77777777" w:rsidR="00BC1ED8" w:rsidRDefault="00BC1ED8" w:rsidP="0081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Fac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D094" w14:textId="77777777" w:rsidR="00643FAD" w:rsidRDefault="00643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9332" w14:textId="73545501" w:rsidR="00DC3475" w:rsidRDefault="00643FAD" w:rsidP="00DC3475">
    <w:pPr>
      <w:pStyle w:val="Footer"/>
      <w:tabs>
        <w:tab w:val="clear" w:pos="4513"/>
        <w:tab w:val="left" w:pos="4536"/>
      </w:tabs>
    </w:pPr>
    <w:r>
      <w:t>A</w:t>
    </w:r>
    <w:r w:rsidR="00DC3475">
      <w:t>pproved by APC:</w:t>
    </w:r>
    <w:r w:rsidR="006E0B9C">
      <w:t xml:space="preserve"> </w:t>
    </w:r>
    <w:r w:rsidR="009976A9">
      <w:t>Nov 2022</w:t>
    </w:r>
    <w:r w:rsidR="00DC3475">
      <w:tab/>
      <w:t>Review date: Nov 202</w:t>
    </w:r>
    <w:r w:rsidR="009976A9">
      <w:t>5</w:t>
    </w:r>
    <w:r w:rsidR="00DC3475">
      <w:tab/>
      <w:t>V1</w:t>
    </w:r>
  </w:p>
  <w:p w14:paraId="711EBCC1" w14:textId="77777777" w:rsidR="00815A41" w:rsidRDefault="00815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56C" w14:textId="77777777" w:rsidR="00643FAD" w:rsidRDefault="00643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47FB" w14:textId="77777777" w:rsidR="00BC1ED8" w:rsidRDefault="00BC1ED8" w:rsidP="00815A41">
      <w:pPr>
        <w:spacing w:after="0" w:line="240" w:lineRule="auto"/>
      </w:pPr>
      <w:r>
        <w:separator/>
      </w:r>
    </w:p>
  </w:footnote>
  <w:footnote w:type="continuationSeparator" w:id="0">
    <w:p w14:paraId="696174C0" w14:textId="77777777" w:rsidR="00BC1ED8" w:rsidRDefault="00BC1ED8" w:rsidP="0081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F26D" w14:textId="77777777" w:rsidR="00643FAD" w:rsidRDefault="00643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F274" w14:textId="139DAEE9" w:rsidR="002221BC" w:rsidRDefault="00222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CB0C" w14:textId="77777777" w:rsidR="00643FAD" w:rsidRDefault="00643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69"/>
    <w:rsid w:val="000C3FEA"/>
    <w:rsid w:val="000C7053"/>
    <w:rsid w:val="001A7D92"/>
    <w:rsid w:val="001C785F"/>
    <w:rsid w:val="002221BC"/>
    <w:rsid w:val="00367F15"/>
    <w:rsid w:val="003863F6"/>
    <w:rsid w:val="004057B4"/>
    <w:rsid w:val="0042755F"/>
    <w:rsid w:val="005F5169"/>
    <w:rsid w:val="00643FAD"/>
    <w:rsid w:val="00666450"/>
    <w:rsid w:val="006A557C"/>
    <w:rsid w:val="006C5A52"/>
    <w:rsid w:val="006E0B9C"/>
    <w:rsid w:val="00706961"/>
    <w:rsid w:val="008054DB"/>
    <w:rsid w:val="00815A41"/>
    <w:rsid w:val="008657B5"/>
    <w:rsid w:val="008A065E"/>
    <w:rsid w:val="00971D67"/>
    <w:rsid w:val="009976A9"/>
    <w:rsid w:val="009F6720"/>
    <w:rsid w:val="00A33746"/>
    <w:rsid w:val="00A93C41"/>
    <w:rsid w:val="00AD4CD6"/>
    <w:rsid w:val="00B21E4D"/>
    <w:rsid w:val="00B82C06"/>
    <w:rsid w:val="00B961ED"/>
    <w:rsid w:val="00BC1ED8"/>
    <w:rsid w:val="00BF4699"/>
    <w:rsid w:val="00C5193C"/>
    <w:rsid w:val="00C64CB1"/>
    <w:rsid w:val="00CA141E"/>
    <w:rsid w:val="00CD3DA2"/>
    <w:rsid w:val="00D54F4F"/>
    <w:rsid w:val="00DB38C3"/>
    <w:rsid w:val="00DC14BA"/>
    <w:rsid w:val="00DC3475"/>
    <w:rsid w:val="00E51E1C"/>
    <w:rsid w:val="00F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0E6899"/>
  <w15:docId w15:val="{CB4D1F92-9607-4CB0-8D38-139AD6B2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15"/>
    <w:pPr>
      <w:ind w:left="720"/>
      <w:contextualSpacing/>
    </w:pPr>
  </w:style>
  <w:style w:type="table" w:styleId="TableGrid">
    <w:name w:val="Table Grid"/>
    <w:basedOn w:val="TableNormal"/>
    <w:uiPriority w:val="59"/>
    <w:rsid w:val="0080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4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4D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41"/>
  </w:style>
  <w:style w:type="paragraph" w:styleId="Footer">
    <w:name w:val="footer"/>
    <w:basedOn w:val="Normal"/>
    <w:link w:val="FooterChar"/>
    <w:uiPriority w:val="99"/>
    <w:unhideWhenUsed/>
    <w:rsid w:val="00815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41"/>
  </w:style>
  <w:style w:type="character" w:styleId="CommentReference">
    <w:name w:val="annotation reference"/>
    <w:basedOn w:val="DefaultParagraphFont"/>
    <w:uiPriority w:val="99"/>
    <w:semiHidden/>
    <w:unhideWhenUsed/>
    <w:rsid w:val="00A93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C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6A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64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5A5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5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shireformulary.nhs.uk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ttinghamshireformulary.nhs.uk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nottsapc.nhs.uk/shared-care" TargetMode="External"/><Relationship Id="rId11" Type="http://schemas.openxmlformats.org/officeDocument/2006/relationships/hyperlink" Target="https://www.nottsapc.nhs.uk/media/1340/submission-flowchart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nnicb-nn.nottsapc@nhs.ne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nottinghamshiremedicinesmanagement.nhs.uk/policies-and-documents/medicines-management-policies/self-care-guidanc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BUTCHER, Nichola (NHS NOTTINGHAM AND NOTTINGHAMSHIRE ICB - 52R)</cp:lastModifiedBy>
  <cp:revision>4</cp:revision>
  <cp:lastPrinted>2022-11-29T15:44:00Z</cp:lastPrinted>
  <dcterms:created xsi:type="dcterms:W3CDTF">2022-11-29T15:42:00Z</dcterms:created>
  <dcterms:modified xsi:type="dcterms:W3CDTF">2022-11-29T15:58:00Z</dcterms:modified>
</cp:coreProperties>
</file>